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0D" w:rsidRPr="009C130D" w:rsidRDefault="009C130D" w:rsidP="009C130D">
      <w:pPr>
        <w:shd w:val="clear" w:color="auto" w:fill="FFFFFF"/>
        <w:spacing w:after="150" w:line="324" w:lineRule="atLeast"/>
        <w:jc w:val="center"/>
        <w:outlineLvl w:val="0"/>
        <w:rPr>
          <w:rFonts w:ascii="Tahoma" w:eastAsia="Times New Roman" w:hAnsi="Tahoma" w:cs="Tahoma"/>
          <w:b/>
          <w:bCs/>
          <w:color w:val="694698"/>
          <w:kern w:val="36"/>
          <w:sz w:val="27"/>
          <w:szCs w:val="27"/>
          <w:u w:val="single"/>
          <w:lang w:eastAsia="ru-RU"/>
        </w:rPr>
      </w:pPr>
      <w:r w:rsidRPr="009C130D">
        <w:rPr>
          <w:rFonts w:ascii="Tahoma" w:eastAsia="Times New Roman" w:hAnsi="Tahoma" w:cs="Tahoma"/>
          <w:b/>
          <w:bCs/>
          <w:color w:val="694698"/>
          <w:kern w:val="36"/>
          <w:sz w:val="27"/>
          <w:szCs w:val="27"/>
          <w:u w:val="single"/>
          <w:lang w:eastAsia="ru-RU"/>
        </w:rPr>
        <w:t>Памятка о правилах безопасного использования ртутьсодержащих ламп</w:t>
      </w:r>
      <w:r w:rsidR="00E1061B">
        <w:rPr>
          <w:rFonts w:ascii="Tahoma" w:eastAsia="Times New Roman" w:hAnsi="Tahoma" w:cs="Tahoma"/>
          <w:b/>
          <w:bCs/>
          <w:color w:val="694698"/>
          <w:kern w:val="36"/>
          <w:sz w:val="27"/>
          <w:szCs w:val="27"/>
          <w:u w:val="single"/>
          <w:lang w:eastAsia="ru-RU"/>
        </w:rPr>
        <w:t xml:space="preserve"> и приборов</w:t>
      </w:r>
      <w:r w:rsidRPr="009C130D">
        <w:rPr>
          <w:rFonts w:ascii="Tahoma" w:eastAsia="Times New Roman" w:hAnsi="Tahoma" w:cs="Tahoma"/>
          <w:b/>
          <w:bCs/>
          <w:color w:val="694698"/>
          <w:kern w:val="36"/>
          <w:sz w:val="27"/>
          <w:szCs w:val="27"/>
          <w:u w:val="single"/>
          <w:lang w:eastAsia="ru-RU"/>
        </w:rPr>
        <w:t xml:space="preserve"> </w:t>
      </w:r>
    </w:p>
    <w:p w:rsidR="009C130D" w:rsidRPr="00E1061B" w:rsidRDefault="009C130D" w:rsidP="00E1061B">
      <w:pPr>
        <w:pStyle w:val="a5"/>
        <w:numPr>
          <w:ilvl w:val="0"/>
          <w:numId w:val="5"/>
        </w:numPr>
        <w:shd w:val="clear" w:color="auto" w:fill="FFFFFF"/>
        <w:spacing w:before="90" w:after="150" w:line="240" w:lineRule="auto"/>
        <w:ind w:left="0" w:firstLine="0"/>
        <w:jc w:val="both"/>
        <w:rPr>
          <w:rFonts w:ascii="Tahoma" w:eastAsia="Times New Roman" w:hAnsi="Tahoma" w:cs="Tahoma"/>
          <w:color w:val="444444"/>
          <w:sz w:val="24"/>
          <w:szCs w:val="24"/>
          <w:lang w:eastAsia="ru-RU"/>
        </w:rPr>
      </w:pPr>
      <w:r w:rsidRPr="00E1061B">
        <w:rPr>
          <w:rFonts w:ascii="Tahoma" w:eastAsia="Times New Roman" w:hAnsi="Tahoma" w:cs="Tahoma"/>
          <w:bCs/>
          <w:color w:val="444444"/>
          <w:sz w:val="24"/>
          <w:szCs w:val="24"/>
          <w:lang w:eastAsia="ru-RU"/>
        </w:rPr>
        <w:t>Ртутьсодержащая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ОБЩИЕ ПРАВИЛА ОБРАЩЕНИЯ С РТУТЬСОДЕРЖАЩИМИ ЛАМПАМИ.</w:t>
      </w:r>
    </w:p>
    <w:p w:rsidR="009C130D" w:rsidRPr="009C130D" w:rsidRDefault="009C130D" w:rsidP="009C130D">
      <w:pPr>
        <w:numPr>
          <w:ilvl w:val="0"/>
          <w:numId w:val="2"/>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обращайтесь с энергосберегающими лампами осторожно, чтобы не разрушить или повредить колбу лампы в процессе установки;</w:t>
      </w:r>
    </w:p>
    <w:p w:rsidR="009C130D" w:rsidRPr="009C130D" w:rsidRDefault="009C130D" w:rsidP="009C130D">
      <w:pPr>
        <w:numPr>
          <w:ilvl w:val="0"/>
          <w:numId w:val="2"/>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всегда удерживайте энергосберегающую лампу за основание во время установки в патрон и извлечения из него.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ЧТО ДЕЛАТЬ ПРИ РАЗРУШЕНИИ ЛАМПЫ.</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Откройте окно и покиньте комнату на 15 минут.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Проведите влажную уборку помещения с использованием бытовых хлорсодержащих препаратов (Белизна, Доместос и т. д.). Обувь протрите влажным бумажным полотенцем.</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Пакет с осколками лампы и изделиями, использованными в процессе уборки помещения, сдайте в специализированное предприятие на переработку.</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lastRenderedPageBreak/>
        <w:t>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w:t>
      </w:r>
    </w:p>
    <w:p w:rsidR="009C130D" w:rsidRPr="009C130D" w:rsidRDefault="009C130D" w:rsidP="009C130D">
      <w:pPr>
        <w:numPr>
          <w:ilvl w:val="0"/>
          <w:numId w:val="3"/>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 xml:space="preserve">После проведения </w:t>
      </w:r>
      <w:proofErr w:type="spellStart"/>
      <w:r w:rsidRPr="009C130D">
        <w:rPr>
          <w:rFonts w:ascii="Tahoma" w:eastAsia="Times New Roman" w:hAnsi="Tahoma" w:cs="Tahoma"/>
          <w:color w:val="444444"/>
          <w:sz w:val="24"/>
          <w:szCs w:val="24"/>
          <w:lang w:eastAsia="ru-RU"/>
        </w:rPr>
        <w:t>демеркуризационных</w:t>
      </w:r>
      <w:proofErr w:type="spellEnd"/>
      <w:r w:rsidRPr="009C130D">
        <w:rPr>
          <w:rFonts w:ascii="Tahoma" w:eastAsia="Times New Roman" w:hAnsi="Tahoma" w:cs="Tahoma"/>
          <w:color w:val="444444"/>
          <w:sz w:val="24"/>
          <w:szCs w:val="24"/>
          <w:lang w:eastAsia="ru-RU"/>
        </w:rPr>
        <w:t xml:space="preserve">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FF0000"/>
          <w:sz w:val="24"/>
          <w:szCs w:val="24"/>
          <w:lang w:eastAsia="ru-RU"/>
        </w:rPr>
        <w:t>КАТЕГОРИЧЕСКИ ЗАПРЕЩАЕТСЯ:</w:t>
      </w:r>
    </w:p>
    <w:p w:rsidR="009C130D" w:rsidRPr="009C130D" w:rsidRDefault="009C130D" w:rsidP="009C130D">
      <w:pPr>
        <w:numPr>
          <w:ilvl w:val="0"/>
          <w:numId w:val="4"/>
        </w:numPr>
        <w:shd w:val="clear" w:color="auto" w:fill="FFFFFF"/>
        <w:spacing w:before="45" w:after="0" w:line="341" w:lineRule="atLeast"/>
        <w:ind w:left="165"/>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использовать в работе пылесос, щетку, веник; сбрасывать ртутьсодержащие отходы в канализацию или в мусоропроводы.</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color w:val="444444"/>
          <w:sz w:val="24"/>
          <w:szCs w:val="24"/>
          <w:lang w:eastAsia="ru-RU"/>
        </w:rPr>
        <w:t>Лампы, пришедшие в негодность, не повреждая, необходимо утилизировать, пользуясь услугами специализированных организаций.</w:t>
      </w:r>
    </w:p>
    <w:p w:rsidR="009C130D" w:rsidRPr="009C130D" w:rsidRDefault="009C130D" w:rsidP="009C130D">
      <w:pPr>
        <w:shd w:val="clear" w:color="auto" w:fill="FFFFFF"/>
        <w:spacing w:before="90" w:after="150" w:line="240" w:lineRule="auto"/>
        <w:rPr>
          <w:rFonts w:ascii="Tahoma" w:eastAsia="Times New Roman" w:hAnsi="Tahoma" w:cs="Tahoma"/>
          <w:color w:val="444444"/>
          <w:sz w:val="24"/>
          <w:szCs w:val="24"/>
          <w:lang w:eastAsia="ru-RU"/>
        </w:rPr>
      </w:pPr>
      <w:r w:rsidRPr="009C130D">
        <w:rPr>
          <w:rFonts w:ascii="Tahoma" w:eastAsia="Times New Roman" w:hAnsi="Tahoma" w:cs="Tahoma"/>
          <w:b/>
          <w:bCs/>
          <w:color w:val="444444"/>
          <w:sz w:val="24"/>
          <w:szCs w:val="24"/>
          <w:lang w:eastAsia="ru-RU"/>
        </w:rPr>
        <w:t xml:space="preserve">Для жителей многоквартирных домов, находящихся в управлении </w:t>
      </w:r>
      <w:r w:rsidR="007A2B63" w:rsidRPr="007A2B63">
        <w:rPr>
          <w:rFonts w:ascii="Tahoma" w:eastAsia="Times New Roman" w:hAnsi="Tahoma" w:cs="Tahoma"/>
          <w:b/>
          <w:bCs/>
          <w:color w:val="444444"/>
          <w:sz w:val="24"/>
          <w:szCs w:val="24"/>
          <w:lang w:eastAsia="ru-RU"/>
        </w:rPr>
        <w:t>РСП ОАО</w:t>
      </w:r>
      <w:r w:rsidRPr="007A2B63">
        <w:rPr>
          <w:rFonts w:ascii="Tahoma" w:eastAsia="Times New Roman" w:hAnsi="Tahoma" w:cs="Tahoma"/>
          <w:b/>
          <w:bCs/>
          <w:color w:val="444444"/>
          <w:sz w:val="24"/>
          <w:szCs w:val="24"/>
          <w:lang w:eastAsia="ru-RU"/>
        </w:rPr>
        <w:t xml:space="preserve"> «</w:t>
      </w:r>
      <w:r w:rsidR="007A2B63" w:rsidRPr="007A2B63">
        <w:rPr>
          <w:rFonts w:ascii="Tahoma" w:eastAsia="Times New Roman" w:hAnsi="Tahoma" w:cs="Tahoma"/>
          <w:b/>
          <w:bCs/>
          <w:color w:val="444444"/>
          <w:sz w:val="24"/>
          <w:szCs w:val="24"/>
          <w:lang w:eastAsia="ru-RU"/>
        </w:rPr>
        <w:t>ДОСТ</w:t>
      </w:r>
      <w:r w:rsidRPr="007A2B63">
        <w:rPr>
          <w:rFonts w:ascii="Tahoma" w:eastAsia="Times New Roman" w:hAnsi="Tahoma" w:cs="Tahoma"/>
          <w:b/>
          <w:bCs/>
          <w:color w:val="444444"/>
          <w:sz w:val="24"/>
          <w:szCs w:val="24"/>
          <w:lang w:eastAsia="ru-RU"/>
        </w:rPr>
        <w:t>»,</w:t>
      </w:r>
      <w:r w:rsidRPr="009C130D">
        <w:rPr>
          <w:rFonts w:ascii="Tahoma" w:eastAsia="Times New Roman" w:hAnsi="Tahoma" w:cs="Tahoma"/>
          <w:b/>
          <w:bCs/>
          <w:color w:val="444444"/>
          <w:sz w:val="24"/>
          <w:szCs w:val="24"/>
          <w:lang w:eastAsia="ru-RU"/>
        </w:rPr>
        <w:t xml:space="preserve"> место сбора отработанных ртутьсодержащих ламп определено </w:t>
      </w:r>
      <w:r w:rsidR="007A2B63">
        <w:rPr>
          <w:rFonts w:ascii="Tahoma" w:eastAsia="Times New Roman" w:hAnsi="Tahoma" w:cs="Tahoma"/>
          <w:b/>
          <w:bCs/>
          <w:color w:val="444444"/>
          <w:sz w:val="24"/>
          <w:szCs w:val="24"/>
          <w:lang w:eastAsia="ru-RU"/>
        </w:rPr>
        <w:t>по адресу: 215 квартал, строение № 23</w:t>
      </w:r>
      <w:r w:rsidRPr="009C130D">
        <w:rPr>
          <w:rFonts w:ascii="Tahoma" w:eastAsia="Times New Roman" w:hAnsi="Tahoma" w:cs="Tahoma"/>
          <w:b/>
          <w:bCs/>
          <w:color w:val="444444"/>
          <w:sz w:val="24"/>
          <w:szCs w:val="24"/>
          <w:lang w:eastAsia="ru-RU"/>
        </w:rPr>
        <w:t xml:space="preserve"> (тел. для справок </w:t>
      </w:r>
      <w:r w:rsidR="007A2B63">
        <w:rPr>
          <w:rFonts w:ascii="Tahoma" w:eastAsia="Times New Roman" w:hAnsi="Tahoma" w:cs="Tahoma"/>
          <w:b/>
          <w:bCs/>
          <w:color w:val="444444"/>
          <w:sz w:val="24"/>
          <w:szCs w:val="24"/>
          <w:lang w:eastAsia="ru-RU"/>
        </w:rPr>
        <w:t xml:space="preserve">8 (3955) </w:t>
      </w:r>
      <w:r w:rsidR="007A2B63" w:rsidRPr="007A2B63">
        <w:rPr>
          <w:rFonts w:ascii="Tahoma" w:eastAsia="Times New Roman" w:hAnsi="Tahoma" w:cs="Tahoma"/>
          <w:b/>
          <w:bCs/>
          <w:color w:val="444444"/>
          <w:sz w:val="24"/>
          <w:szCs w:val="24"/>
          <w:lang w:eastAsia="ru-RU"/>
        </w:rPr>
        <w:t>54-11-91</w:t>
      </w:r>
      <w:r w:rsidRPr="009C130D">
        <w:rPr>
          <w:rFonts w:ascii="Tahoma" w:eastAsia="Times New Roman" w:hAnsi="Tahoma" w:cs="Tahoma"/>
          <w:b/>
          <w:bCs/>
          <w:color w:val="444444"/>
          <w:sz w:val="24"/>
          <w:szCs w:val="24"/>
          <w:lang w:eastAsia="ru-RU"/>
        </w:rPr>
        <w:t>).</w:t>
      </w:r>
    </w:p>
    <w:p w:rsidR="00E1061B" w:rsidRPr="00586A9F" w:rsidRDefault="00E1061B" w:rsidP="00E1061B">
      <w:pPr>
        <w:spacing w:after="0"/>
        <w:rPr>
          <w:rFonts w:ascii="Tahoma" w:hAnsi="Tahoma" w:cs="Tahoma"/>
          <w:sz w:val="28"/>
          <w:szCs w:val="28"/>
        </w:rPr>
      </w:pPr>
      <w:bookmarkStart w:id="0" w:name="_GoBack"/>
      <w:bookmarkEnd w:id="0"/>
    </w:p>
    <w:p w:rsidR="00E1061B" w:rsidRPr="00E1061B" w:rsidRDefault="00E1061B" w:rsidP="00E1061B">
      <w:pPr>
        <w:spacing w:after="0"/>
        <w:rPr>
          <w:rFonts w:ascii="Tahoma" w:hAnsi="Tahoma" w:cs="Tahoma"/>
          <w:b/>
          <w:sz w:val="28"/>
          <w:szCs w:val="28"/>
        </w:rPr>
      </w:pPr>
      <w:proofErr w:type="gramStart"/>
      <w:r w:rsidRPr="00E1061B">
        <w:rPr>
          <w:rFonts w:ascii="Tahoma" w:hAnsi="Tahoma" w:cs="Tahoma"/>
          <w:b/>
          <w:sz w:val="28"/>
          <w:szCs w:val="28"/>
          <w:lang w:val="en-US"/>
        </w:rPr>
        <w:t>II</w:t>
      </w:r>
      <w:r>
        <w:rPr>
          <w:rFonts w:ascii="Tahoma" w:hAnsi="Tahoma" w:cs="Tahoma"/>
          <w:b/>
          <w:sz w:val="28"/>
          <w:szCs w:val="28"/>
        </w:rPr>
        <w:t>.</w:t>
      </w:r>
      <w:proofErr w:type="gramEnd"/>
    </w:p>
    <w:p w:rsidR="00BF1D9D" w:rsidRPr="00E1061B" w:rsidRDefault="00E1061B" w:rsidP="00E1061B">
      <w:pPr>
        <w:jc w:val="center"/>
      </w:pPr>
      <w:r>
        <w:rPr>
          <w:noProof/>
          <w:lang w:eastAsia="ru-RU"/>
        </w:rPr>
        <w:drawing>
          <wp:inline distT="0" distB="0" distL="0" distR="0">
            <wp:extent cx="5673157" cy="5324475"/>
            <wp:effectExtent l="0" t="0" r="3810" b="0"/>
            <wp:docPr id="1" name="Рисунок 1" descr="C:\Users\1\Desktop\Мои документы\331 постановление\2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ои документы\331 постановление\21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157" cy="5324475"/>
                    </a:xfrm>
                    <a:prstGeom prst="rect">
                      <a:avLst/>
                    </a:prstGeom>
                    <a:noFill/>
                    <a:ln>
                      <a:noFill/>
                    </a:ln>
                  </pic:spPr>
                </pic:pic>
              </a:graphicData>
            </a:graphic>
          </wp:inline>
        </w:drawing>
      </w:r>
    </w:p>
    <w:sectPr w:rsidR="00BF1D9D" w:rsidRPr="00E1061B" w:rsidSect="00E1061B">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347"/>
    <w:multiLevelType w:val="multilevel"/>
    <w:tmpl w:val="C0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B8B"/>
    <w:multiLevelType w:val="multilevel"/>
    <w:tmpl w:val="BC2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D38C1"/>
    <w:multiLevelType w:val="hybridMultilevel"/>
    <w:tmpl w:val="05CCA64C"/>
    <w:lvl w:ilvl="0" w:tplc="739463E0">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0590B"/>
    <w:multiLevelType w:val="multilevel"/>
    <w:tmpl w:val="947E45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E160B4F"/>
    <w:multiLevelType w:val="multilevel"/>
    <w:tmpl w:val="E9EA5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0D"/>
    <w:rsid w:val="00586A9F"/>
    <w:rsid w:val="007A2B63"/>
    <w:rsid w:val="009C130D"/>
    <w:rsid w:val="00BF1D9D"/>
    <w:rsid w:val="00E1061B"/>
    <w:rsid w:val="00E4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0D"/>
    <w:rPr>
      <w:rFonts w:ascii="Tahoma" w:hAnsi="Tahoma" w:cs="Tahoma"/>
      <w:sz w:val="16"/>
      <w:szCs w:val="16"/>
    </w:rPr>
  </w:style>
  <w:style w:type="paragraph" w:styleId="a5">
    <w:name w:val="List Paragraph"/>
    <w:basedOn w:val="a"/>
    <w:uiPriority w:val="34"/>
    <w:qFormat/>
    <w:rsid w:val="00E10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30D"/>
    <w:rPr>
      <w:rFonts w:ascii="Tahoma" w:hAnsi="Tahoma" w:cs="Tahoma"/>
      <w:sz w:val="16"/>
      <w:szCs w:val="16"/>
    </w:rPr>
  </w:style>
  <w:style w:type="paragraph" w:styleId="a5">
    <w:name w:val="List Paragraph"/>
    <w:basedOn w:val="a"/>
    <w:uiPriority w:val="34"/>
    <w:qFormat/>
    <w:rsid w:val="00E1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70633">
      <w:bodyDiv w:val="1"/>
      <w:marLeft w:val="0"/>
      <w:marRight w:val="0"/>
      <w:marTop w:val="0"/>
      <w:marBottom w:val="0"/>
      <w:divBdr>
        <w:top w:val="none" w:sz="0" w:space="0" w:color="auto"/>
        <w:left w:val="none" w:sz="0" w:space="0" w:color="auto"/>
        <w:bottom w:val="none" w:sz="0" w:space="0" w:color="auto"/>
        <w:right w:val="none" w:sz="0" w:space="0" w:color="auto"/>
      </w:divBdr>
      <w:divsChild>
        <w:div w:id="1535461075">
          <w:marLeft w:val="0"/>
          <w:marRight w:val="0"/>
          <w:marTop w:val="150"/>
          <w:marBottom w:val="0"/>
          <w:divBdr>
            <w:top w:val="dotted" w:sz="6" w:space="2" w:color="CCCCCC"/>
            <w:left w:val="none" w:sz="0" w:space="0" w:color="auto"/>
            <w:bottom w:val="dotted" w:sz="6" w:space="2" w:color="CCCCCC"/>
            <w:right w:val="none" w:sz="0" w:space="0" w:color="auto"/>
          </w:divBdr>
        </w:div>
        <w:div w:id="122244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Marina</cp:lastModifiedBy>
  <cp:revision>6</cp:revision>
  <cp:lastPrinted>2018-04-26T07:14:00Z</cp:lastPrinted>
  <dcterms:created xsi:type="dcterms:W3CDTF">2018-04-26T06:41:00Z</dcterms:created>
  <dcterms:modified xsi:type="dcterms:W3CDTF">2018-04-28T06:42:00Z</dcterms:modified>
</cp:coreProperties>
</file>